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12A" w:rsidRPr="00B0612A" w:rsidRDefault="00B0612A" w:rsidP="00B0612A">
      <w:pPr>
        <w:widowControl/>
        <w:shd w:val="clear" w:color="auto" w:fill="FFFFFF"/>
        <w:spacing w:before="450" w:after="150" w:line="480" w:lineRule="auto"/>
        <w:jc w:val="center"/>
        <w:outlineLvl w:val="2"/>
        <w:rPr>
          <w:rFonts w:ascii="微软雅黑" w:eastAsia="微软雅黑" w:hAnsi="微软雅黑" w:cs="宋体"/>
          <w:color w:val="333333"/>
          <w:kern w:val="0"/>
          <w:sz w:val="36"/>
          <w:szCs w:val="36"/>
        </w:rPr>
      </w:pPr>
      <w:r w:rsidRPr="00B0612A">
        <w:rPr>
          <w:rFonts w:ascii="微软雅黑" w:eastAsia="微软雅黑" w:hAnsi="微软雅黑" w:cs="宋体" w:hint="eastAsia"/>
          <w:color w:val="333333"/>
          <w:kern w:val="0"/>
          <w:sz w:val="36"/>
          <w:szCs w:val="36"/>
        </w:rPr>
        <w:t>工程管理硕士（MEM）专业学位工业工程与管理领域研究生指导性培养方案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前言：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本文件用于指导有关培养单位参照制定工业工程与管理领域（125603）工程管理硕士培养方案，相关要求主要针对招收应届本科生的项目。而对仅招收有三年及以上工作经历的本领域MEM项目，各培养单位可参考本文件</w:t>
      </w:r>
      <w:bookmarkStart w:id="0" w:name="_GoBack"/>
      <w:bookmarkEnd w:id="0"/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有关要求制定。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一、规范性引用文件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（一）工程管理硕士专业学位研究生指导性培养方案（学位办[2011]34号）；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（二）工程管理硕士专业学位基本要求（试行）（工程管理教指委[2014]1号）。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二、培养目标及基本要求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培养掌握马克思主义基本原理、中国特色社会主义理论体系及习近平新时代中国特色社会主义思想，具备良好的政治素质和职业道德，掌握系统规划与设计、定量分析与评价、管理优化与决策等专业知识和能力，具备系统化思维、批判性精神、创新意识、战略眼光、国际视野、团队合作与领导力的高层次、复合型工程管理人才。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三、培养方式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（一）学习年限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学习年限一般为2-3年。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lastRenderedPageBreak/>
        <w:t>（二）培养环节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包括理论课程教学、实习实践教学（含专业实践、企业实习等）和论文工作，坚持全面育人。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理论课程教学方法鼓励运用团队学习、案例分析、现场研究、项目训练等，注重定量分析能力和创造性解决实际问题能力的培养。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全日制研究生累计实习实践教学时间不少于半年，鼓励产教融合，突出创新创业意识和能力培养，可结合课程教学并设置学分。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论文指导一般应根据研究方向实行双导师制（其中一位来自对口行业），或成立由学校教师和行业专家组成的指导小组。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四、课程设置及要求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课程分为公共课、专业学位课和专业选修课三类，总计要求不低于30学分。课程设置采用模块方式，应覆盖以下模块：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（一）公共课程（政治、外语等）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（二）专业学位课(包括类别核心课程和领域核心课程)（必修，16学分）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“类别核心课程”指工程管理硕士专业学位类别（代码1256）的核心课程，“领域核心课程”指工业工程与管理领域（代码125603）的核心课程。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lastRenderedPageBreak/>
        <w:t>1.类别核心课程（至少6选3，6学分）：应对照教指委颁布的课程大纲，开设不少于3门下列课程。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《工程管理导论》（2学分）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《工程经济学》（2学分）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《系统工程》（2学分）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《定量分析：模型与方法》（2学分）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《质量与可靠性管理》（2学分）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《工程信息管理》（2学分）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2.领域核心课程（至少8选5，10学分）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《运营与管理》（2学分）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《供应链与物流管理》（2学分）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《人因与设计》（2学分）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《工程系统决策与优化》（2学分）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《大数据分析》（2学分）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《智能技术与应用》（2 学分）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lastRenderedPageBreak/>
        <w:t>《领导力与沟通》（2学分）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《工程系统建模与仿真》（2学分）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（三）专业选修课程（不低于8学分）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各校应根据产业发展动态和学校办学特色，突出工程技术及应用，设置专业方向，开设一定数量的选修课程，满足专业选修课学分要求。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专业方向的设置建议：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Ø 制造产业管理方向（如智能制造、新型制造等）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Ø 服务产业管理方向（非商业性服务产业）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Ø 服务工程管理方向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Ø 数字经济与新兴产业管理方向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各校可根据自身特色定位，在充分论证的基础上，自设其他培养方向。教指委将定期发布统计性培养方向目录。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五、学位论文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参照教指委《工程管理硕士（MEM）专业学位论文标准与工作指南》和各培养单位有关要求执行。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t>六、学位授予</w:t>
      </w:r>
    </w:p>
    <w:p w:rsidR="00B0612A" w:rsidRPr="00B0612A" w:rsidRDefault="00B0612A" w:rsidP="00B0612A">
      <w:pPr>
        <w:widowControl/>
        <w:shd w:val="clear" w:color="auto" w:fill="FFFFFF"/>
        <w:spacing w:before="100" w:beforeAutospacing="1" w:after="300" w:line="375" w:lineRule="atLeast"/>
        <w:ind w:firstLine="480"/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</w:pPr>
      <w:r w:rsidRPr="00B0612A">
        <w:rPr>
          <w:rFonts w:ascii="微软雅黑" w:eastAsia="微软雅黑" w:hAnsi="微软雅黑" w:cs="宋体" w:hint="eastAsia"/>
          <w:color w:val="000000" w:themeColor="text1"/>
          <w:kern w:val="0"/>
          <w:sz w:val="22"/>
          <w:szCs w:val="21"/>
        </w:rPr>
        <w:lastRenderedPageBreak/>
        <w:t>完成课程学习和实习实践等培养环节，取得规定学分，并通过学位论文答辩者，经学位授予单位学位评定委员会审核，授予工程管理硕士专业学位。</w:t>
      </w:r>
    </w:p>
    <w:p w:rsidR="003A19EF" w:rsidRPr="00B0612A" w:rsidRDefault="003A19EF"/>
    <w:sectPr w:rsidR="003A19EF" w:rsidRPr="00B061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0B8" w:rsidRDefault="002350B8" w:rsidP="00B0612A">
      <w:r>
        <w:separator/>
      </w:r>
    </w:p>
  </w:endnote>
  <w:endnote w:type="continuationSeparator" w:id="0">
    <w:p w:rsidR="002350B8" w:rsidRDefault="002350B8" w:rsidP="00B06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0B8" w:rsidRDefault="002350B8" w:rsidP="00B0612A">
      <w:r>
        <w:separator/>
      </w:r>
    </w:p>
  </w:footnote>
  <w:footnote w:type="continuationSeparator" w:id="0">
    <w:p w:rsidR="002350B8" w:rsidRDefault="002350B8" w:rsidP="00B061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6A0"/>
    <w:rsid w:val="002350B8"/>
    <w:rsid w:val="003A19EF"/>
    <w:rsid w:val="009D46A0"/>
    <w:rsid w:val="00B0612A"/>
    <w:rsid w:val="00B2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561072D-95A8-405F-B955-BB7B1CC14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B0612A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612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061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612A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B0612A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vsbcontentstart">
    <w:name w:val="vsbcontent_start"/>
    <w:basedOn w:val="a"/>
    <w:rsid w:val="00B0612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B0612A"/>
    <w:rPr>
      <w:b/>
      <w:bCs/>
    </w:rPr>
  </w:style>
  <w:style w:type="paragraph" w:styleId="a8">
    <w:name w:val="Normal (Web)"/>
    <w:basedOn w:val="a"/>
    <w:uiPriority w:val="99"/>
    <w:semiHidden/>
    <w:unhideWhenUsed/>
    <w:rsid w:val="00B0612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sbcontentend">
    <w:name w:val="vsbcontent_end"/>
    <w:basedOn w:val="a"/>
    <w:rsid w:val="00B0612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17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44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214</Words>
  <Characters>1224</Characters>
  <Application>Microsoft Office Word</Application>
  <DocSecurity>0</DocSecurity>
  <Lines>10</Lines>
  <Paragraphs>2</Paragraphs>
  <ScaleCrop>false</ScaleCrop>
  <Company>Microsoft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yichong</dc:creator>
  <cp:keywords/>
  <dc:description/>
  <cp:lastModifiedBy>yichong</cp:lastModifiedBy>
  <cp:revision>2</cp:revision>
  <dcterms:created xsi:type="dcterms:W3CDTF">2026-04-27T11:42:00Z</dcterms:created>
  <dcterms:modified xsi:type="dcterms:W3CDTF">2026-04-27T11:43:00Z</dcterms:modified>
</cp:coreProperties>
</file>